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shape style="position:absolute;margin-left:42.540001pt;margin-top:44.744984pt;width:5.6pt;height:11pt;mso-position-horizontal-relative:page;mso-position-vertical-relative:page;z-index:-251878400" type="#_x0000_t202" filled="false" stroked="false">
            <v:textbox inset="0,0,0,0">
              <w:txbxContent>
                <w:p>
                  <w:pPr>
                    <w:spacing w:line="220" w:lineRule="exact" w:before="0"/>
                    <w:ind w:left="0" w:right="0" w:firstLine="0"/>
                    <w:jc w:val="left"/>
                    <w:rPr>
                      <w:sz w:val="22"/>
                    </w:rPr>
                  </w:pPr>
                  <w:r>
                    <w:rPr>
                      <w:w w:val="99"/>
                      <w:sz w:val="22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595.35pt;height:135.15pt;mso-position-horizontal-relative:page;mso-position-vertical-relative:page;z-index:251661312" coordorigin="0,0" coordsize="11907,2703">
            <v:shape style="position:absolute;left:585;top:510;width:4812;height:960" type="#_x0000_t75" alt="C:\Users\Alexander\Desktop\Презентации\LogoKP_.jpg" stroked="false">
              <v:imagedata r:id="rId6" o:title=""/>
            </v:shape>
            <v:shape style="position:absolute;left:0;top:0;width:11907;height:2703" type="#_x0000_t75" stroked="false">
              <v:imagedata r:id="rId7" o:title=""/>
            </v:shape>
            <v:shape style="position:absolute;left:0;top:1732;width:11902;height:971" type="#_x0000_t202" filled="false" stroked="false">
              <v:textbox inset="0,0,0,0">
                <w:txbxContent>
                  <w:p>
                    <w:pPr>
                      <w:spacing w:before="169"/>
                      <w:ind w:left="1383" w:right="1335" w:firstLine="0"/>
                      <w:jc w:val="center"/>
                      <w:rPr>
                        <w:b/>
                        <w:sz w:val="38"/>
                      </w:rPr>
                    </w:pPr>
                    <w:r>
                      <w:rPr>
                        <w:b/>
                        <w:color w:val="005DA1"/>
                        <w:sz w:val="38"/>
                      </w:rPr>
                      <w:t>Носимая радиостанция стандарта TETRA СармаТ-8Х140</w:t>
                    </w:r>
                  </w:p>
                </w:txbxContent>
              </v:textbox>
              <w10:wrap type="none"/>
            </v:shape>
            <v:shape style="position:absolute;left:0;top:0;width:11902;height:167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8"/>
                      <w:rPr>
                        <w:sz w:val="26"/>
                      </w:rPr>
                    </w:pPr>
                  </w:p>
                  <w:p>
                    <w:pPr>
                      <w:spacing w:before="1"/>
                      <w:ind w:left="0" w:right="681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248021, г. Калуга, ул. Московская,</w:t>
                    </w:r>
                    <w:r>
                      <w:rPr>
                        <w:spacing w:val="-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249,</w:t>
                    </w:r>
                  </w:p>
                  <w:p>
                    <w:pPr>
                      <w:spacing w:before="0"/>
                      <w:ind w:left="0" w:right="680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телефоны: (4842) 507-739, 507-776, факс: (4842)</w:t>
                    </w:r>
                    <w:r>
                      <w:rPr>
                        <w:spacing w:val="-17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550-527,</w:t>
                    </w:r>
                  </w:p>
                  <w:p>
                    <w:pPr>
                      <w:spacing w:before="1"/>
                      <w:ind w:left="0" w:right="680" w:firstLine="0"/>
                      <w:jc w:val="righ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e-mail:</w:t>
                    </w:r>
                    <w:hyperlink r:id="rId8">
                      <w:r>
                        <w:rPr>
                          <w:sz w:val="18"/>
                        </w:rPr>
                        <w:t> kc@kaluga.ru,</w:t>
                      </w:r>
                      <w:r>
                        <w:rPr>
                          <w:spacing w:val="-17"/>
                          <w:sz w:val="18"/>
                        </w:rPr>
                        <w:t> </w:t>
                      </w:r>
                    </w:hyperlink>
                    <w:hyperlink r:id="rId9">
                      <w:r>
                        <w:rPr>
                          <w:sz w:val="18"/>
                        </w:rPr>
                        <w:t>www.kalugapribor.ru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9"/>
        </w:rPr>
      </w:pPr>
    </w:p>
    <w:p>
      <w:pPr>
        <w:pStyle w:val="BodyText"/>
        <w:ind w:left="85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57999" cy="2930080"/>
            <wp:effectExtent l="0" t="0" r="0" b="0"/>
            <wp:docPr id="1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9" cy="293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449" w:lineRule="exact" w:before="0"/>
        <w:ind w:left="3310" w:right="3310" w:firstLine="0"/>
        <w:jc w:val="center"/>
        <w:rPr>
          <w:b/>
          <w:sz w:val="38"/>
        </w:rPr>
      </w:pPr>
      <w:r>
        <w:rPr>
          <w:b/>
          <w:color w:val="005DA1"/>
          <w:sz w:val="38"/>
        </w:rPr>
        <w:t>Описание</w:t>
      </w:r>
    </w:p>
    <w:p>
      <w:pPr>
        <w:pStyle w:val="BodyText"/>
        <w:spacing w:before="270"/>
        <w:ind w:left="850" w:right="964"/>
      </w:pPr>
      <w:r>
        <w:rPr>
          <w:color w:val="1F487C"/>
        </w:rPr>
        <w:t>Абонентская радиостанция СармаТ-8Х140 предназначена для использования в цифровых транкинговых сетях профессиональной радиосвязи стандарта TETRA, где требуется повышенная взрывобезопасность (предприятия нефтегазовой, горнодобывающей, топливно-энергетической и химической отраслей, запыленные производства).</w:t>
      </w:r>
    </w:p>
    <w:p>
      <w:pPr>
        <w:pStyle w:val="BodyText"/>
        <w:spacing w:before="150"/>
        <w:ind w:left="850" w:right="1287"/>
      </w:pPr>
      <w:r>
        <w:rPr>
          <w:color w:val="1F487C"/>
        </w:rPr>
        <w:t>Взрывозащищенная радиостанция имеет категорию защиты в соответствии с директивой ATEX 94/9/EC для газовых сред II 2 ib IIC T4 Gb, а для пылевых сред II 2 ib IIIC Db IP6x.</w:t>
      </w:r>
    </w:p>
    <w:p>
      <w:pPr>
        <w:pStyle w:val="BodyText"/>
        <w:spacing w:before="150"/>
        <w:ind w:left="850" w:right="1879"/>
        <w:jc w:val="both"/>
      </w:pPr>
      <w:r>
        <w:rPr>
          <w:color w:val="1F487C"/>
        </w:rPr>
        <w:t>Пыле- и влагозащита терминала СармаТ-8Х140 соответствует категории IP67. Кроме того терминал имеет усеченную клавиатуру необходимую для пользователей, использующих возможности оборудования стандарта TETRA.</w:t>
      </w:r>
    </w:p>
    <w:p>
      <w:pPr>
        <w:pStyle w:val="BodyText"/>
        <w:spacing w:before="149"/>
        <w:ind w:left="850"/>
        <w:jc w:val="both"/>
      </w:pPr>
      <w:r>
        <w:rPr>
          <w:color w:val="1F487C"/>
        </w:rPr>
        <w:t>Терминал выпускается в стандартном диапазоне частот 407 – 430 МГц.</w:t>
      </w:r>
    </w:p>
    <w:p>
      <w:pPr>
        <w:pStyle w:val="BodyText"/>
        <w:spacing w:before="151"/>
        <w:ind w:left="850" w:right="1286"/>
      </w:pPr>
      <w:r>
        <w:rPr>
          <w:color w:val="1F487C"/>
        </w:rPr>
        <w:t>Новый терминал по функционалу превышает конкурентные образцы и может оснащаться GPS, опцией ManDown, слотом MicroSD и опцией DMO ретранслятора.</w:t>
      </w:r>
    </w:p>
    <w:p>
      <w:pPr>
        <w:pStyle w:val="Heading1"/>
        <w:spacing w:before="149"/>
        <w:jc w:val="both"/>
      </w:pPr>
      <w:r>
        <w:rPr>
          <w:color w:val="1F487C"/>
        </w:rPr>
        <w:t>Функциональные особенности радиостанции СармаТ-8Х140: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165" w:after="0"/>
        <w:ind w:left="850" w:right="1388" w:hanging="360"/>
        <w:jc w:val="left"/>
        <w:rPr>
          <w:sz w:val="24"/>
        </w:rPr>
      </w:pPr>
      <w:r>
        <w:rPr>
          <w:color w:val="1F487C"/>
          <w:sz w:val="24"/>
        </w:rPr>
        <w:t>допускает эксплуатацию при морозе -20С с возможностью хранения до -40С в зимний период и эксплуатацию при температуре +55С с возможностью хранения до</w:t>
      </w:r>
      <w:r>
        <w:rPr>
          <w:color w:val="1F487C"/>
          <w:spacing w:val="-10"/>
          <w:sz w:val="24"/>
        </w:rPr>
        <w:t> </w:t>
      </w:r>
      <w:r>
        <w:rPr>
          <w:color w:val="1F487C"/>
          <w:sz w:val="24"/>
        </w:rPr>
        <w:t>+85С;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0" w:after="0"/>
        <w:ind w:left="850" w:right="1979" w:hanging="360"/>
        <w:jc w:val="left"/>
        <w:rPr>
          <w:sz w:val="24"/>
        </w:rPr>
      </w:pPr>
      <w:r>
        <w:rPr>
          <w:color w:val="1F487C"/>
          <w:sz w:val="24"/>
        </w:rPr>
        <w:t>достаточно высокая мощность аккумулятора обеспечивает достаточно длинный период работы без</w:t>
      </w:r>
      <w:r>
        <w:rPr>
          <w:color w:val="1F487C"/>
          <w:spacing w:val="-1"/>
          <w:sz w:val="24"/>
        </w:rPr>
        <w:t> </w:t>
      </w:r>
      <w:r>
        <w:rPr>
          <w:color w:val="1F487C"/>
          <w:sz w:val="24"/>
        </w:rPr>
        <w:t>подзарядки;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0" w:after="0"/>
        <w:ind w:left="850" w:right="0" w:hanging="361"/>
        <w:jc w:val="left"/>
        <w:rPr>
          <w:sz w:val="24"/>
        </w:rPr>
      </w:pPr>
      <w:r>
        <w:rPr>
          <w:color w:val="1F487C"/>
          <w:sz w:val="24"/>
        </w:rPr>
        <w:t>одновременно может принимать до 112</w:t>
      </w:r>
      <w:r>
        <w:rPr>
          <w:color w:val="1F487C"/>
          <w:spacing w:val="-4"/>
          <w:sz w:val="24"/>
        </w:rPr>
        <w:t> </w:t>
      </w:r>
      <w:r>
        <w:rPr>
          <w:color w:val="1F487C"/>
          <w:sz w:val="24"/>
        </w:rPr>
        <w:t>спутников;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0" w:after="0"/>
        <w:ind w:left="850" w:right="1987" w:hanging="360"/>
        <w:jc w:val="left"/>
        <w:rPr>
          <w:sz w:val="24"/>
        </w:rPr>
      </w:pPr>
      <w:r>
        <w:rPr>
          <w:color w:val="1F487C"/>
          <w:sz w:val="24"/>
        </w:rPr>
        <w:t>Радиостанция способна работать в автономном режиме в зависимости от потребностей пользователя;</w:t>
      </w:r>
    </w:p>
    <w:p>
      <w:pPr>
        <w:pStyle w:val="ListParagraph"/>
        <w:numPr>
          <w:ilvl w:val="0"/>
          <w:numId w:val="1"/>
        </w:numPr>
        <w:tabs>
          <w:tab w:pos="850" w:val="left" w:leader="none"/>
          <w:tab w:pos="851" w:val="left" w:leader="none"/>
        </w:tabs>
        <w:spacing w:line="240" w:lineRule="auto" w:before="1" w:after="0"/>
        <w:ind w:left="850" w:right="3013" w:hanging="360"/>
        <w:jc w:val="left"/>
        <w:rPr>
          <w:sz w:val="24"/>
        </w:rPr>
      </w:pPr>
      <w:r>
        <w:rPr>
          <w:color w:val="1F487C"/>
          <w:sz w:val="24"/>
        </w:rPr>
        <w:t>наличие GPS позволяет с высокой степенью точность определять собственное местонахождение</w:t>
      </w:r>
    </w:p>
    <w:p>
      <w:pPr>
        <w:spacing w:after="0" w:line="240" w:lineRule="auto"/>
        <w:jc w:val="left"/>
        <w:rPr>
          <w:sz w:val="24"/>
        </w:rPr>
        <w:sectPr>
          <w:footerReference w:type="default" r:id="rId5"/>
          <w:type w:val="continuous"/>
          <w:pgSz w:w="11910" w:h="16840"/>
          <w:pgMar w:footer="745" w:top="0" w:bottom="940" w:left="0" w:right="0"/>
        </w:sectPr>
      </w:pPr>
    </w:p>
    <w:p>
      <w:pPr>
        <w:pStyle w:val="Heading1"/>
        <w:ind w:left="3310" w:right="3311"/>
      </w:pPr>
      <w:r>
        <w:rPr>
          <w:color w:val="1F487C"/>
        </w:rPr>
        <w:t>Основные технические параметры СармаТ-8X140:</w:t>
      </w:r>
    </w:p>
    <w:p>
      <w:pPr>
        <w:pStyle w:val="BodyText"/>
        <w:spacing w:before="2" w:after="1"/>
        <w:rPr>
          <w:b/>
          <w:sz w:val="20"/>
        </w:rPr>
      </w:pPr>
    </w:p>
    <w:tbl>
      <w:tblPr>
        <w:tblW w:w="0" w:type="auto"/>
        <w:jc w:val="left"/>
        <w:tblInd w:w="85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49"/>
        <w:gridCol w:w="3372"/>
      </w:tblGrid>
      <w:tr>
        <w:trPr>
          <w:trHeight w:val="645" w:hRule="atLeast"/>
        </w:trPr>
        <w:tc>
          <w:tcPr>
            <w:tcW w:w="10221" w:type="dxa"/>
            <w:gridSpan w:val="2"/>
            <w:shd w:val="clear" w:color="auto" w:fill="1F487C"/>
          </w:tcPr>
          <w:p>
            <w:pPr>
              <w:pStyle w:val="TableParagraph"/>
              <w:spacing w:line="240" w:lineRule="auto" w:before="175"/>
              <w:ind w:left="3440" w:right="3430"/>
              <w:jc w:val="center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Общие характеристики</w:t>
            </w:r>
          </w:p>
        </w:tc>
      </w:tr>
      <w:tr>
        <w:trPr>
          <w:trHeight w:val="568" w:hRule="atLeast"/>
        </w:trPr>
        <w:tc>
          <w:tcPr>
            <w:tcW w:w="6849" w:type="dxa"/>
          </w:tcPr>
          <w:p>
            <w:pPr>
              <w:pStyle w:val="TableParagraph"/>
              <w:spacing w:line="240" w:lineRule="auto" w:before="149"/>
              <w:ind w:left="105"/>
              <w:rPr>
                <w:sz w:val="22"/>
              </w:rPr>
            </w:pPr>
            <w:r>
              <w:rPr>
                <w:color w:val="333333"/>
                <w:sz w:val="22"/>
              </w:rPr>
              <w:t>Размеры (В х Ш х Г):</w:t>
            </w:r>
          </w:p>
        </w:tc>
        <w:tc>
          <w:tcPr>
            <w:tcW w:w="3372" w:type="dxa"/>
          </w:tcPr>
          <w:p>
            <w:pPr>
              <w:pStyle w:val="TableParagraph"/>
              <w:spacing w:line="240" w:lineRule="auto" w:before="174"/>
              <w:ind w:left="957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color w:val="333333"/>
                <w:sz w:val="19"/>
              </w:rPr>
              <w:t>139 х 61 х 44 мм</w:t>
            </w:r>
          </w:p>
        </w:tc>
      </w:tr>
      <w:tr>
        <w:trPr>
          <w:trHeight w:val="518" w:hRule="atLeast"/>
        </w:trPr>
        <w:tc>
          <w:tcPr>
            <w:tcW w:w="6849" w:type="dxa"/>
          </w:tcPr>
          <w:p>
            <w:pPr>
              <w:pStyle w:val="TableParagraph"/>
              <w:spacing w:line="240" w:lineRule="auto" w:before="125"/>
              <w:rPr>
                <w:sz w:val="22"/>
              </w:rPr>
            </w:pPr>
            <w:r>
              <w:rPr>
                <w:color w:val="333333"/>
                <w:sz w:val="22"/>
              </w:rPr>
              <w:t>Вес: г.</w:t>
            </w:r>
          </w:p>
        </w:tc>
        <w:tc>
          <w:tcPr>
            <w:tcW w:w="3372" w:type="dxa"/>
          </w:tcPr>
          <w:p>
            <w:pPr>
              <w:pStyle w:val="TableParagraph"/>
              <w:spacing w:line="240" w:lineRule="auto" w:before="149"/>
              <w:ind w:left="1244" w:right="1133"/>
              <w:jc w:val="center"/>
              <w:rPr>
                <w:rFonts w:ascii="Arial"/>
                <w:sz w:val="19"/>
              </w:rPr>
            </w:pPr>
            <w:r>
              <w:rPr>
                <w:rFonts w:ascii="Arial"/>
                <w:color w:val="333333"/>
                <w:sz w:val="19"/>
              </w:rPr>
              <w:t>338</w:t>
            </w:r>
          </w:p>
        </w:tc>
      </w:tr>
      <w:tr>
        <w:trPr>
          <w:trHeight w:val="269" w:hRule="atLeast"/>
        </w:trPr>
        <w:tc>
          <w:tcPr>
            <w:tcW w:w="6849" w:type="dxa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color w:val="333333"/>
                <w:sz w:val="22"/>
              </w:rPr>
              <w:t>Абонентские группы (TMO и DMO)</w:t>
            </w:r>
          </w:p>
        </w:tc>
        <w:tc>
          <w:tcPr>
            <w:tcW w:w="3372" w:type="dxa"/>
          </w:tcPr>
          <w:p>
            <w:pPr>
              <w:pStyle w:val="TableParagraph"/>
              <w:spacing w:line="249" w:lineRule="exact"/>
              <w:ind w:left="1297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9900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Список сканирования</w:t>
            </w:r>
          </w:p>
        </w:tc>
        <w:tc>
          <w:tcPr>
            <w:tcW w:w="3372" w:type="dxa"/>
          </w:tcPr>
          <w:p>
            <w:pPr>
              <w:pStyle w:val="TableParagraph"/>
              <w:spacing w:line="240" w:lineRule="auto" w:before="24"/>
              <w:ind w:left="764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color w:val="333333"/>
                <w:sz w:val="19"/>
              </w:rPr>
              <w:t>40 списков из 20 групп</w:t>
            </w:r>
          </w:p>
        </w:tc>
      </w:tr>
      <w:tr>
        <w:trPr>
          <w:trHeight w:val="645" w:hRule="atLeast"/>
        </w:trPr>
        <w:tc>
          <w:tcPr>
            <w:tcW w:w="10221" w:type="dxa"/>
            <w:gridSpan w:val="2"/>
          </w:tcPr>
          <w:p>
            <w:pPr>
              <w:pStyle w:val="TableParagraph"/>
              <w:spacing w:line="240" w:lineRule="auto" w:before="187"/>
              <w:ind w:left="3590" w:right="3430"/>
              <w:jc w:val="center"/>
              <w:rPr>
                <w:b/>
                <w:sz w:val="22"/>
              </w:rPr>
            </w:pPr>
            <w:r>
              <w:rPr>
                <w:b/>
                <w:color w:val="1F487C"/>
                <w:sz w:val="22"/>
              </w:rPr>
              <w:t>Климатические характеристики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Диапазон рабочих температур</w:t>
            </w:r>
          </w:p>
        </w:tc>
        <w:tc>
          <w:tcPr>
            <w:tcW w:w="3372" w:type="dxa"/>
          </w:tcPr>
          <w:p>
            <w:pPr>
              <w:pStyle w:val="TableParagraph"/>
              <w:ind w:left="1224"/>
              <w:rPr>
                <w:sz w:val="22"/>
              </w:rPr>
            </w:pPr>
            <w:r>
              <w:rPr>
                <w:color w:val="333333"/>
                <w:sz w:val="22"/>
              </w:rPr>
              <w:t>–20...+55 °С</w:t>
            </w:r>
          </w:p>
        </w:tc>
      </w:tr>
      <w:tr>
        <w:trPr>
          <w:trHeight w:val="269" w:hRule="atLeast"/>
        </w:trPr>
        <w:tc>
          <w:tcPr>
            <w:tcW w:w="6849" w:type="dxa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color w:val="333333"/>
                <w:sz w:val="22"/>
              </w:rPr>
              <w:t>Диапазон температур хранения</w:t>
            </w:r>
          </w:p>
        </w:tc>
        <w:tc>
          <w:tcPr>
            <w:tcW w:w="3372" w:type="dxa"/>
          </w:tcPr>
          <w:p>
            <w:pPr>
              <w:pStyle w:val="TableParagraph"/>
              <w:spacing w:line="249" w:lineRule="exact"/>
              <w:ind w:left="1224"/>
              <w:rPr>
                <w:sz w:val="22"/>
              </w:rPr>
            </w:pPr>
            <w:r>
              <w:rPr>
                <w:color w:val="333333"/>
                <w:sz w:val="22"/>
              </w:rPr>
              <w:t>–40...+85 °С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Исполнение (пыле- и влагозащищенность)</w:t>
            </w:r>
          </w:p>
        </w:tc>
        <w:tc>
          <w:tcPr>
            <w:tcW w:w="3372" w:type="dxa"/>
          </w:tcPr>
          <w:p>
            <w:pPr>
              <w:pStyle w:val="TableParagraph"/>
              <w:ind w:left="1297" w:right="1132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IP67</w:t>
            </w:r>
          </w:p>
        </w:tc>
      </w:tr>
      <w:tr>
        <w:trPr>
          <w:trHeight w:val="645" w:hRule="atLeast"/>
        </w:trPr>
        <w:tc>
          <w:tcPr>
            <w:tcW w:w="10221" w:type="dxa"/>
            <w:gridSpan w:val="2"/>
          </w:tcPr>
          <w:p>
            <w:pPr>
              <w:pStyle w:val="TableParagraph"/>
              <w:spacing w:line="240" w:lineRule="auto" w:before="187"/>
              <w:ind w:left="3591" w:right="3430"/>
              <w:jc w:val="center"/>
              <w:rPr>
                <w:b/>
                <w:sz w:val="22"/>
              </w:rPr>
            </w:pPr>
            <w:r>
              <w:rPr>
                <w:b/>
                <w:color w:val="1F487C"/>
                <w:sz w:val="22"/>
              </w:rPr>
              <w:t>Радиочастотные характеристики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Диапазон частот</w:t>
            </w:r>
          </w:p>
        </w:tc>
        <w:tc>
          <w:tcPr>
            <w:tcW w:w="3372" w:type="dxa"/>
          </w:tcPr>
          <w:p>
            <w:pPr>
              <w:pStyle w:val="TableParagraph"/>
              <w:ind w:left="1191"/>
              <w:rPr>
                <w:sz w:val="22"/>
              </w:rPr>
            </w:pPr>
            <w:r>
              <w:rPr>
                <w:color w:val="333333"/>
                <w:sz w:val="22"/>
              </w:rPr>
              <w:t>407-473МГц</w:t>
            </w:r>
          </w:p>
        </w:tc>
      </w:tr>
      <w:tr>
        <w:trPr>
          <w:trHeight w:val="269" w:hRule="atLeast"/>
        </w:trPr>
        <w:tc>
          <w:tcPr>
            <w:tcW w:w="6849" w:type="dxa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color w:val="333333"/>
                <w:sz w:val="22"/>
              </w:rPr>
              <w:t>Шаг сетки частот</w:t>
            </w:r>
          </w:p>
        </w:tc>
        <w:tc>
          <w:tcPr>
            <w:tcW w:w="3372" w:type="dxa"/>
          </w:tcPr>
          <w:p>
            <w:pPr>
              <w:pStyle w:val="TableParagraph"/>
              <w:spacing w:line="249" w:lineRule="exact"/>
              <w:ind w:left="1297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25 кГц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Разнос частот передачи / приема:</w:t>
            </w:r>
          </w:p>
        </w:tc>
        <w:tc>
          <w:tcPr>
            <w:tcW w:w="3372" w:type="dxa"/>
          </w:tcPr>
          <w:p>
            <w:pPr>
              <w:pStyle w:val="TableParagraph"/>
              <w:ind w:left="1296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10 МГц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Мощность передатчика</w:t>
            </w:r>
          </w:p>
        </w:tc>
        <w:tc>
          <w:tcPr>
            <w:tcW w:w="3372" w:type="dxa"/>
          </w:tcPr>
          <w:p>
            <w:pPr>
              <w:pStyle w:val="TableParagraph"/>
              <w:ind w:left="1297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1 Вт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Класс приемника</w:t>
            </w:r>
          </w:p>
        </w:tc>
        <w:tc>
          <w:tcPr>
            <w:tcW w:w="3372" w:type="dxa"/>
          </w:tcPr>
          <w:p>
            <w:pPr>
              <w:pStyle w:val="TableParagraph"/>
              <w:ind w:left="1295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А и В</w:t>
            </w:r>
          </w:p>
        </w:tc>
      </w:tr>
      <w:tr>
        <w:trPr>
          <w:trHeight w:val="569" w:hRule="atLeast"/>
        </w:trPr>
        <w:tc>
          <w:tcPr>
            <w:tcW w:w="6849" w:type="dxa"/>
          </w:tcPr>
          <w:p>
            <w:pPr>
              <w:pStyle w:val="TableParagraph"/>
              <w:spacing w:line="240" w:lineRule="auto" w:before="150"/>
              <w:rPr>
                <w:sz w:val="22"/>
              </w:rPr>
            </w:pPr>
            <w:r>
              <w:rPr>
                <w:color w:val="333333"/>
                <w:sz w:val="22"/>
              </w:rPr>
              <w:t>Статическая чувствительность приемника:</w:t>
            </w:r>
          </w:p>
        </w:tc>
        <w:tc>
          <w:tcPr>
            <w:tcW w:w="3372" w:type="dxa"/>
          </w:tcPr>
          <w:p>
            <w:pPr>
              <w:pStyle w:val="TableParagraph"/>
              <w:spacing w:line="240" w:lineRule="auto" w:before="150"/>
              <w:ind w:left="1295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–112 дБм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color w:val="333333"/>
                <w:sz w:val="22"/>
              </w:rPr>
              <w:t>Динамическая чувствительность приемника:</w:t>
            </w:r>
          </w:p>
        </w:tc>
        <w:tc>
          <w:tcPr>
            <w:tcW w:w="3372" w:type="dxa"/>
          </w:tcPr>
          <w:p>
            <w:pPr>
              <w:pStyle w:val="TableParagraph"/>
              <w:ind w:left="1295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–103 дБм</w:t>
            </w:r>
          </w:p>
        </w:tc>
      </w:tr>
      <w:tr>
        <w:trPr>
          <w:trHeight w:val="645" w:hRule="atLeast"/>
        </w:trPr>
        <w:tc>
          <w:tcPr>
            <w:tcW w:w="10221" w:type="dxa"/>
            <w:gridSpan w:val="2"/>
          </w:tcPr>
          <w:p>
            <w:pPr>
              <w:pStyle w:val="TableParagraph"/>
              <w:spacing w:line="240" w:lineRule="auto" w:before="188"/>
              <w:ind w:left="3591" w:right="3430"/>
              <w:jc w:val="center"/>
              <w:rPr>
                <w:b/>
                <w:sz w:val="22"/>
              </w:rPr>
            </w:pPr>
            <w:r>
              <w:rPr>
                <w:b/>
                <w:color w:val="1F487C"/>
                <w:sz w:val="22"/>
              </w:rPr>
              <w:t>Характеристики GPS</w:t>
            </w:r>
          </w:p>
        </w:tc>
      </w:tr>
      <w:tr>
        <w:trPr>
          <w:trHeight w:val="268" w:hRule="atLeast"/>
        </w:trPr>
        <w:tc>
          <w:tcPr>
            <w:tcW w:w="6849" w:type="dxa"/>
          </w:tcPr>
          <w:p>
            <w:pPr>
              <w:pStyle w:val="TableParagraph"/>
              <w:ind w:left="6"/>
              <w:rPr>
                <w:sz w:val="22"/>
              </w:rPr>
            </w:pPr>
            <w:r>
              <w:rPr>
                <w:color w:val="333333"/>
                <w:sz w:val="22"/>
              </w:rPr>
              <w:t>Чувствительность поисковая</w:t>
            </w:r>
          </w:p>
        </w:tc>
        <w:tc>
          <w:tcPr>
            <w:tcW w:w="3372" w:type="dxa"/>
          </w:tcPr>
          <w:p>
            <w:pPr>
              <w:pStyle w:val="TableParagraph"/>
              <w:ind w:left="1295" w:right="1133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–152 дБм</w:t>
            </w:r>
          </w:p>
        </w:tc>
      </w:tr>
      <w:tr>
        <w:trPr>
          <w:trHeight w:val="269" w:hRule="atLeast"/>
        </w:trPr>
        <w:tc>
          <w:tcPr>
            <w:tcW w:w="6849" w:type="dxa"/>
          </w:tcPr>
          <w:p>
            <w:pPr>
              <w:pStyle w:val="TableParagraph"/>
              <w:spacing w:line="249" w:lineRule="exact"/>
              <w:ind w:left="6"/>
              <w:rPr>
                <w:sz w:val="22"/>
              </w:rPr>
            </w:pPr>
            <w:r>
              <w:rPr>
                <w:color w:val="333333"/>
                <w:sz w:val="22"/>
              </w:rPr>
              <w:t>Чувствительность слежения</w:t>
            </w:r>
          </w:p>
        </w:tc>
        <w:tc>
          <w:tcPr>
            <w:tcW w:w="3372" w:type="dxa"/>
          </w:tcPr>
          <w:p>
            <w:pPr>
              <w:pStyle w:val="TableParagraph"/>
              <w:spacing w:line="246" w:lineRule="exact" w:before="3"/>
              <w:ind w:left="1297" w:right="1131"/>
              <w:jc w:val="center"/>
              <w:rPr>
                <w:sz w:val="22"/>
              </w:rPr>
            </w:pPr>
            <w:r>
              <w:rPr>
                <w:color w:val="333333"/>
                <w:sz w:val="22"/>
              </w:rPr>
              <w:t>–182 дБм</w:t>
            </w:r>
          </w:p>
        </w:tc>
      </w:tr>
    </w:tbl>
    <w:p>
      <w:pPr>
        <w:pStyle w:val="BodyText"/>
        <w:spacing w:before="3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676029</wp:posOffset>
            </wp:positionH>
            <wp:positionV relativeFrom="paragraph">
              <wp:posOffset>198698</wp:posOffset>
            </wp:positionV>
            <wp:extent cx="2845117" cy="3255645"/>
            <wp:effectExtent l="0" t="0" r="0" b="0"/>
            <wp:wrapTopAndBottom/>
            <wp:docPr id="3" name="image4.png" descr="C:\Users\AndreyTs\AppData\Local\Microsoft\Windows\INetCache\Content.Word\Шаблон основа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117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4083961</wp:posOffset>
            </wp:positionH>
            <wp:positionV relativeFrom="paragraph">
              <wp:posOffset>197265</wp:posOffset>
            </wp:positionV>
            <wp:extent cx="2666999" cy="3259074"/>
            <wp:effectExtent l="0" t="0" r="0" b="0"/>
            <wp:wrapTopAndBottom/>
            <wp:docPr id="5" name="image5.jpeg" descr="C:\Users\AndreyTs\AppData\Local\Microsoft\Windows\INetCache\Content.Word\Шаблон комплектация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999" cy="3259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header="0" w:footer="745" w:top="800" w:bottom="94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Calibri">
    <w:altName w:val="Calibri"/>
    <w:charset w:val="CC"/>
    <w:family w:val="swiss"/>
    <w:pitch w:val="variable"/>
  </w:font>
  <w:font w:name="Symbol">
    <w:altName w:val="Symbol"/>
    <w:charset w:val="2"/>
    <w:family w:val="roman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51878400" from=".1pt,791.399963pt" to="595.320007pt,791.399963pt" stroked="true" strokeweight="1.5pt" strokecolor="#4579b8">
          <v:stroke dashstyle="solid"/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81.459999pt;margin-top:803.494995pt;width:472.25pt;height:10pt;mso-position-horizontal-relative:page;mso-position-vertical-relative:page;z-index:-251877376" type="#_x0000_t202" filled="false" stroked="false">
          <v:textbox inset="0,0,0,0">
            <w:txbxContent>
              <w:p>
                <w:pPr>
                  <w:spacing w:line="183" w:lineRule="exact" w:before="0"/>
                  <w:ind w:left="20" w:right="0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t>248021, г. Калуга, ул. Московская, 249, телефоны: (4842) 507-739, 507-776, факс: (4842) 550-527, e-mail: </w:t>
                </w:r>
                <w:hyperlink r:id="rId1">
                  <w:r>
                    <w:rPr>
                      <w:sz w:val="16"/>
                    </w:rPr>
                    <w:t>kc@kaluga.ru, </w:t>
                  </w:r>
                </w:hyperlink>
                <w:hyperlink r:id="rId2">
                  <w:r>
                    <w:rPr>
                      <w:sz w:val="16"/>
                    </w:rPr>
                    <w:t>www.kalugapribor.ru</w:t>
                  </w:r>
                </w:hyperlink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"/>
      <w:lvlJc w:val="left"/>
      <w:pPr>
        <w:ind w:left="850" w:hanging="360"/>
      </w:pPr>
      <w:rPr>
        <w:rFonts w:hint="default" w:ascii="Symbol" w:hAnsi="Symbol" w:eastAsia="Symbol" w:cs="Symbol"/>
        <w:color w:val="1F487C"/>
        <w:w w:val="100"/>
        <w:sz w:val="20"/>
        <w:szCs w:val="20"/>
        <w:lang w:val="ru-RU" w:eastAsia="ru-RU" w:bidi="ru-RU"/>
      </w:rPr>
    </w:lvl>
    <w:lvl w:ilvl="1">
      <w:start w:val="0"/>
      <w:numFmt w:val="bullet"/>
      <w:lvlText w:val="•"/>
      <w:lvlJc w:val="left"/>
      <w:pPr>
        <w:ind w:left="1964" w:hanging="360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3069" w:hanging="360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4173" w:hanging="360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5278" w:hanging="360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6383" w:hanging="360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7487" w:hanging="360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8592" w:hanging="360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9697" w:hanging="360"/>
      </w:pPr>
      <w:rPr>
        <w:rFonts w:hint="default"/>
        <w:lang w:val="ru-RU" w:eastAsia="ru-RU" w:bidi="ru-RU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ru-RU" w:eastAsia="ru-RU" w:bidi="ru-RU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4"/>
      <w:szCs w:val="24"/>
      <w:lang w:val="ru-RU" w:eastAsia="ru-RU" w:bidi="ru-RU"/>
    </w:rPr>
  </w:style>
  <w:style w:styleId="Heading1" w:type="paragraph">
    <w:name w:val="Heading 1"/>
    <w:basedOn w:val="Normal"/>
    <w:uiPriority w:val="1"/>
    <w:qFormat/>
    <w:pPr>
      <w:spacing w:before="30"/>
      <w:ind w:left="850"/>
      <w:jc w:val="center"/>
      <w:outlineLvl w:val="1"/>
    </w:pPr>
    <w:rPr>
      <w:rFonts w:ascii="Calibri" w:hAnsi="Calibri" w:eastAsia="Calibri" w:cs="Calibri"/>
      <w:b/>
      <w:bCs/>
      <w:sz w:val="24"/>
      <w:szCs w:val="24"/>
      <w:lang w:val="ru-RU" w:eastAsia="ru-RU" w:bidi="ru-RU"/>
    </w:rPr>
  </w:style>
  <w:style w:styleId="ListParagraph" w:type="paragraph">
    <w:name w:val="List Paragraph"/>
    <w:basedOn w:val="Normal"/>
    <w:uiPriority w:val="1"/>
    <w:qFormat/>
    <w:pPr>
      <w:ind w:left="850" w:hanging="360"/>
    </w:pPr>
    <w:rPr>
      <w:rFonts w:ascii="Calibri" w:hAnsi="Calibri" w:eastAsia="Calibri" w:cs="Calibri"/>
      <w:lang w:val="ru-RU" w:eastAsia="ru-RU" w:bidi="ru-RU"/>
    </w:rPr>
  </w:style>
  <w:style w:styleId="TableParagraph" w:type="paragraph">
    <w:name w:val="Table Paragraph"/>
    <w:basedOn w:val="Normal"/>
    <w:uiPriority w:val="1"/>
    <w:qFormat/>
    <w:pPr>
      <w:spacing w:line="248" w:lineRule="exact"/>
      <w:ind w:left="156"/>
    </w:pPr>
    <w:rPr>
      <w:rFonts w:ascii="Calibri" w:hAnsi="Calibri" w:eastAsia="Calibri" w:cs="Calibri"/>
      <w:lang w:val="ru-RU" w:eastAsia="ru-RU" w:bidi="ru-RU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hyperlink" Target="mailto:kc@kaluga.ru" TargetMode="External"/><Relationship Id="rId9" Type="http://schemas.openxmlformats.org/officeDocument/2006/relationships/hyperlink" Target="http://www.kalugapribor.ru/" TargetMode="External"/><Relationship Id="rId10" Type="http://schemas.openxmlformats.org/officeDocument/2006/relationships/image" Target="media/image3.jpeg"/><Relationship Id="rId11" Type="http://schemas.openxmlformats.org/officeDocument/2006/relationships/image" Target="media/image4.png"/><Relationship Id="rId12" Type="http://schemas.openxmlformats.org/officeDocument/2006/relationships/image" Target="media/image5.jpeg"/><Relationship Id="rId13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kc@kaluga.ru" TargetMode="External"/><Relationship Id="rId2" Type="http://schemas.openxmlformats.org/officeDocument/2006/relationships/hyperlink" Target="http://www.kalugapribor.ru/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PUSHKAREV</dc:creator>
  <dcterms:created xsi:type="dcterms:W3CDTF">2021-07-06T13:36:02Z</dcterms:created>
  <dcterms:modified xsi:type="dcterms:W3CDTF">2021-07-06T13:36:02Z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2021-05-17T00:00:00Z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2021-07-06T00:00:00Z</vt:filetime>
  </property>
</Properties>
</file>